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75.png" ContentType="image/png"/>
  <Override PartName="/word/media/rId76.png" ContentType="image/png"/>
  <Override PartName="/word/media/rId77.png" ContentType="image/png"/>
  <Override PartName="/word/media/rId78.png" ContentType="image/png"/>
  <Override PartName="/word/media/rId47.png" ContentType="image/png"/>
  <Override PartName="/word/media/rId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299</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 This study explores the evidence for associations between missingness in several outcomes and demographic variables. Any such associations may introduce bias if not accounted for.</w:t>
      </w:r>
    </w:p>
    <w:p>
      <w:pPr>
        <w:pStyle w:val="Heading2"/>
      </w:pPr>
      <w:bookmarkStart w:id="23" w:name="methods"/>
      <w:r>
        <w:t xml:space="preserve">Methods</w:t>
      </w:r>
      <w:bookmarkEnd w:id="23"/>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4" w:name="results"/>
      <w:r>
        <w:t xml:space="preserve">Results</w:t>
      </w:r>
      <w:bookmarkEnd w:id="24"/>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5" w:name="conclusions"/>
      <w:r>
        <w:t xml:space="preserve">Conclusions</w:t>
      </w:r>
      <w:bookmarkEnd w:id="25"/>
    </w:p>
    <w:p>
      <w:pPr>
        <w:pStyle w:val="FirstParagraph"/>
      </w:pPr>
      <w:r>
        <w:t xml:space="preserve">Missingness in outcomes was associated with multiple demographic variables. These associations could not be generalised, preventing a systematic approach to dealing with missingness. The identified associations may induce bias, meaning that complete case analysis should not be used for this data source - or other similar surveillance data. Our findings should be used motivate the use of imputation and to inform the specification of imputation models for similar surveillance data.</w:t>
      </w:r>
    </w:p>
    <w:p>
      <w:pPr>
        <w:pStyle w:val="Heading2"/>
      </w:pPr>
      <w:bookmarkStart w:id="26" w:name="keywords"/>
      <w:r>
        <w:t xml:space="preserve">Keywords</w:t>
      </w:r>
      <w:bookmarkEnd w:id="26"/>
    </w:p>
    <w:p>
      <w:pPr>
        <w:pStyle w:val="FirstParagraph"/>
      </w:pPr>
      <w:r>
        <w:t xml:space="preserve">Tuberculosis, surveillance, missingness, imputation</w:t>
      </w:r>
    </w:p>
    <w:p>
      <w:pPr>
        <w:pStyle w:val="Heading2"/>
      </w:pPr>
      <w:bookmarkStart w:id="27" w:name="key-messages"/>
      <w:r>
        <w:t xml:space="preserve">Key messages</w:t>
      </w:r>
      <w:bookmarkEnd w:id="27"/>
    </w:p>
    <w:p>
      <w:pPr>
        <w:pStyle w:val="Heading1"/>
      </w:pPr>
      <w:bookmarkStart w:id="28" w:name="introduction"/>
      <w:r>
        <w:t xml:space="preserve">Introduction</w:t>
      </w:r>
      <w:bookmarkEnd w:id="28"/>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practice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9" w:name="methods-1"/>
      <w:r>
        <w:t xml:space="preserve">Methods</w:t>
      </w:r>
      <w:bookmarkEnd w:id="29"/>
    </w:p>
    <w:p>
      <w:pPr>
        <w:pStyle w:val="Heading2"/>
      </w:pPr>
      <w:bookmarkStart w:id="30" w:name="enhanced-tuberculosis-surveillance-ets-system"/>
      <w:r>
        <w:t xml:space="preserve">Enhanced tuberculosis surveillance (ETS) system</w:t>
      </w:r>
      <w:bookmarkEnd w:id="30"/>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1">
        <w:r>
          <w:rPr>
            <w:rStyle w:val="Hyperlink"/>
          </w:rPr>
          <w:t xml:space="preserve">https://zenodo.org/badge/latestdoi/93072437</w:t>
        </w:r>
      </w:hyperlink>
      <w:r>
        <w:t xml:space="preserve">).</w:t>
      </w:r>
    </w:p>
    <w:p>
      <w:pPr>
        <w:pStyle w:val="Heading3"/>
      </w:pPr>
      <w:bookmarkStart w:id="32" w:name="data-completeness"/>
      <w:r>
        <w:t xml:space="preserve">Data completeness</w:t>
      </w:r>
      <w:bookmarkEnd w:id="32"/>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3" w:name="drivers-of-variable-completeness"/>
      <w:r>
        <w:t xml:space="preserve">Drivers of Variable completeness</w:t>
      </w:r>
      <w:bookmarkEnd w:id="33"/>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1"/>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1"/>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1"/>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1"/>
          <w:ilvl w:val="0"/>
        </w:numPr>
      </w:pPr>
      <w:r>
        <w:t xml:space="preserve">Fit a logistic regression model with the temporary data status variable as the outcome, adjusting for the hypothesised drivers of missingness.</w:t>
      </w:r>
    </w:p>
    <w:p>
      <w:pPr>
        <w:numPr>
          <w:numId w:val="1001"/>
          <w:ilvl w:val="0"/>
        </w:numPr>
      </w:pPr>
      <w:r>
        <w:t xml:space="preserve">Exponentiate the returned coefficients, and confidence intervals so that they represent Odds Ratios (ORs).</w:t>
      </w:r>
    </w:p>
    <w:p>
      <w:pPr>
        <w:numPr>
          <w:numId w:val="1001"/>
          <w:ilvl w:val="0"/>
        </w:numPr>
      </w:pPr>
      <w:r>
        <w:t xml:space="preserve">Refit the model, dropping each variable in turn and then comparing the updated model with the full model using a likelihood ratio test.</w:t>
      </w:r>
    </w:p>
    <w:p>
      <w:pPr>
        <w:numPr>
          <w:numId w:val="1001"/>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4">
        <w:r>
          <w:rPr>
            <w:rStyle w:val="Hyperlink"/>
          </w:rPr>
          <w:t xml:space="preserve">https://doi.org/10.5281/zenodo.3492200</w:t>
        </w:r>
      </w:hyperlink>
      <w:r>
        <w:t xml:space="preserve">).</w:t>
      </w:r>
    </w:p>
    <w:p>
      <w:pPr>
        <w:pStyle w:val="Heading3"/>
      </w:pPr>
      <w:bookmarkStart w:id="35" w:name="assessing-temporal-biases-in-reporting"/>
      <w:r>
        <w:t xml:space="preserve">Assessing temporal biases in reporting</w:t>
      </w:r>
      <w:bookmarkEnd w:id="35"/>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6" w:name="patient-and-public-involvement"/>
      <w:r>
        <w:t xml:space="preserve">Patient and public involvement</w:t>
      </w:r>
      <w:bookmarkEnd w:id="36"/>
    </w:p>
    <w:p>
      <w:pPr>
        <w:pStyle w:val="FirstParagraph"/>
      </w:pPr>
      <w:r>
        <w:t xml:space="preserve">We did not involve patients or the public in the design or planning of this study.</w:t>
      </w:r>
    </w:p>
    <w:p>
      <w:pPr>
        <w:pStyle w:val="Heading1"/>
      </w:pPr>
      <w:bookmarkStart w:id="37" w:name="results-1"/>
      <w:r>
        <w:t xml:space="preserve">Results</w:t>
      </w:r>
      <w:bookmarkEnd w:id="37"/>
    </w:p>
    <w:p>
      <w:pPr>
        <w:pStyle w:val="Heading2"/>
      </w:pPr>
      <w:bookmarkStart w:id="38" w:name="data-completeness-1"/>
      <w:r>
        <w:t xml:space="preserve">Data completeness</w:t>
      </w:r>
      <w:bookmarkEnd w:id="38"/>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9" w:name="drivers-of-variable-completeness-1"/>
      <w:r>
        <w:t xml:space="preserve">Drivers of Variable completeness</w:t>
      </w:r>
      <w:bookmarkEnd w:id="39"/>
    </w:p>
    <w:p>
      <w:pPr>
        <w:pStyle w:val="Heading3"/>
      </w:pPr>
      <w:bookmarkStart w:id="40" w:name="drug-resistance"/>
      <w:r>
        <w:t xml:space="preserve">Drug resistance</w:t>
      </w:r>
      <w:bookmarkEnd w:id="40"/>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1" w:name="bcg-status-and-year-of-bcg-vaccination"/>
      <w:r>
        <w:t xml:space="preserve">BCG status and year of BCG vaccination</w:t>
      </w:r>
      <w:bookmarkEnd w:id="41"/>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2" w:name="date-of-symptom-onset"/>
      <w:r>
        <w:t xml:space="preserve">Date of symptom onset</w:t>
      </w:r>
      <w:bookmarkEnd w:id="42"/>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3" w:name="date-of-diagnosis"/>
      <w:r>
        <w:t xml:space="preserve">Date of diagnosis</w:t>
      </w:r>
      <w:bookmarkEnd w:id="43"/>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4" w:name="date-of-starting-treatment-and-ending-treatment"/>
      <w:r>
        <w:t xml:space="preserve">Date of starting treatment and ending treatment</w:t>
      </w:r>
      <w:bookmarkEnd w:id="44"/>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5" w:name="date-of-death-and-cause-of-death."/>
      <w:r>
        <w:t xml:space="preserve">Date of death and cause of death.</w:t>
      </w:r>
      <w:bookmarkEnd w:id="45"/>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6" w:name="assessing-temporal-biases-in-reporting-1"/>
      <w:r>
        <w:t xml:space="preserve">Assessing temporal biases in reporting</w:t>
      </w:r>
      <w:bookmarkEnd w:id="46"/>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8" w:name="discussion"/>
      <w:r>
        <w:t xml:space="preserve">Discussion</w:t>
      </w:r>
      <w:bookmarkEnd w:id="48"/>
    </w:p>
    <w:p>
      <w:pPr>
        <w:pStyle w:val="Heading3"/>
      </w:pPr>
      <w:bookmarkStart w:id="49" w:name="statement-of-primary-findings"/>
      <w:r>
        <w:t xml:space="preserve">Statement of primary findings</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Heading3"/>
      </w:pPr>
      <w:bookmarkStart w:id="50" w:name="strengths-and-limitations-of-the-study"/>
      <w:r>
        <w:t xml:space="preserve">Strengths and limitations of the study</w:t>
      </w:r>
      <w:bookmarkEnd w:id="50"/>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possible,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51" w:name="strengths-and-limitations-in-comparison-to-the-literature"/>
      <w:r>
        <w:t xml:space="preserve">Strengths and limitations in comparison to the literature</w:t>
      </w:r>
      <w:bookmarkEnd w:id="51"/>
    </w:p>
    <w:p>
      <w:pPr>
        <w:pStyle w:val="Heading3"/>
      </w:pPr>
      <w:bookmarkStart w:id="52" w:name="meaning-of-the-study"/>
      <w:r>
        <w:t xml:space="preserve">Meaning of the study</w:t>
      </w:r>
      <w:bookmarkEnd w:id="52"/>
    </w:p>
    <w:p>
      <w:pPr>
        <w:pStyle w:val="FirstParagraph"/>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 This means that complete case analysis should not be used on its own for this data source - or other similar surveillance data. Whilst many of the variables we considered may often be considered in analysis models - and hence included in imputation - this may be the case. Therefore, considerable care should be taken when specifying imputation models with other potentially informative variables also being included.</w:t>
      </w:r>
    </w:p>
    <w:p>
      <w:pPr>
        <w:pStyle w:val="Heading3"/>
      </w:pPr>
      <w:bookmarkStart w:id="53" w:name="unanswered-questions-and-future-research"/>
      <w:r>
        <w:t xml:space="preserve">Unanswered questions and future research</w:t>
      </w:r>
      <w:bookmarkEnd w:id="53"/>
    </w:p>
    <w:p>
      <w:pPr>
        <w:pStyle w:val="FirstParagraph"/>
      </w:pPr>
      <w:r>
        <w:t xml:space="preserve">This analysis only used a single surveillance data-set - in order for the findings to be more easily generalised to other data-sets it should ideally be repeated in additional surveillance data. For this reason this analysis has been structured as an R package (</w:t>
      </w:r>
      <w:hyperlink r:id="rId34">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34">
        <w:r>
          <w:rPr>
            <w:rStyle w:val="Hyperlink"/>
          </w:rPr>
          <w:t xml:space="preserve">https://doi.org/10.5281/zenodo.3492200</w:t>
        </w:r>
      </w:hyperlink>
    </w:p>
    <w:p>
      <w:pPr>
        <w:pStyle w:val="Heading1"/>
      </w:pPr>
      <w:bookmarkStart w:id="54" w:name="references"/>
      <w:r>
        <w:t xml:space="preserve">References</w:t>
      </w:r>
      <w:bookmarkEnd w:id="54"/>
    </w:p>
    <w:bookmarkStart w:id="64" w:name="refs"/>
    <w:bookmarkStart w:id="55"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5"/>
    <w:bookmarkStart w:id="56" w:name="ref-PHE2017"/>
    <w:p>
      <w:pPr>
        <w:pStyle w:val="BodyText"/>
      </w:pPr>
      <w:r>
        <w:t xml:space="preserve">2 Public Health England. Tuberculosis in England 2017 report ( presenting data to end of 2016 ) About Public Health England. 2017.</w:t>
      </w:r>
      <w:r>
        <w:t xml:space="preserve"> </w:t>
      </w:r>
    </w:p>
    <w:bookmarkEnd w:id="56"/>
    <w:bookmarkStart w:id="57"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7"/>
    <w:bookmarkStart w:id="58"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8"/>
    <w:bookmarkStart w:id="59"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59"/>
    <w:bookmarkStart w:id="60" w:name="ref-PHE2016"/>
    <w:p>
      <w:pPr>
        <w:pStyle w:val="BodyText"/>
      </w:pPr>
      <w:r>
        <w:t xml:space="preserve">6 PHE. Tuberculosis in England 2016 Report (presenting data to end of 2015). 2016.</w:t>
      </w:r>
      <w:r>
        <w:t xml:space="preserve"> </w:t>
      </w:r>
    </w:p>
    <w:bookmarkEnd w:id="60"/>
    <w:bookmarkStart w:id="61"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1"/>
    <w:bookmarkStart w:id="62"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2"/>
    <w:bookmarkStart w:id="63" w:name="ref-Groothuis-oudshoorn"/>
    <w:p>
      <w:pPr>
        <w:pStyle w:val="BodyText"/>
      </w:pPr>
      <w:r>
        <w:t xml:space="preserve">9 Groothuis-oudshoorn K. Journal of Statistical Software MICE : Multivariate Imputation by Chained.;</w:t>
      </w:r>
      <w:r>
        <w:rPr>
          <w:b/>
        </w:rPr>
        <w:t xml:space="preserve">VV</w:t>
      </w:r>
      <w:r>
        <w:t xml:space="preserve">.</w:t>
      </w:r>
    </w:p>
    <w:bookmarkEnd w:id="63"/>
    <w:bookmarkEnd w:id="64"/>
    <w:p>
      <w:pPr>
        <w:pStyle w:val="Heading1"/>
      </w:pPr>
      <w:bookmarkStart w:id="65"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5"/>
    </w:p>
    <w:p>
      <w:pPr>
        <w:pStyle w:val="FirstParagraph"/>
      </w:pPr>
      <w:r>
        <w:t xml:space="preserve">Sam Abbott, Hannah Christensen, Ellen Brooks-Pollock</w:t>
      </w:r>
    </w:p>
    <w:p>
      <w:pPr>
        <w:pStyle w:val="Heading2"/>
      </w:pPr>
      <w:bookmarkStart w:id="66" w:name="data-completeness-2"/>
      <w:r>
        <w:t xml:space="preserve">Data completeness</w:t>
      </w:r>
      <w:bookmarkEnd w:id="66"/>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68" w:name="drivers-of-data-completeness---additional-results-tables"/>
      <w:r>
        <w:t xml:space="preserve">Drivers of data completeness - additional results tables</w:t>
      </w:r>
      <w:bookmarkEnd w:id="68"/>
    </w:p>
    <w:p>
      <w:pPr>
        <w:pStyle w:val="Heading3"/>
      </w:pPr>
      <w:bookmarkStart w:id="69" w:name="year-of-bcg-vaccination"/>
      <w:r>
        <w:t xml:space="preserve">Year of BCG vaccination</w:t>
      </w:r>
      <w:bookmarkEnd w:id="69"/>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0" w:name="date-of-diagnosis-1"/>
      <w:r>
        <w:t xml:space="preserve">Date of diagnosis</w:t>
      </w:r>
      <w:bookmarkEnd w:id="70"/>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1" w:name="date-of-starting-treatment-and-ending-treatment-1"/>
      <w:r>
        <w:t xml:space="preserve">Date of starting treatment and ending treatment</w:t>
      </w:r>
      <w:bookmarkEnd w:id="71"/>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2" w:name="date-of-death"/>
      <w:r>
        <w:t xml:space="preserve">Date of death</w:t>
      </w:r>
      <w:bookmarkEnd w:id="72"/>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3" w:name="cause-of-death"/>
      <w:r>
        <w:t xml:space="preserve">Cause of death</w:t>
      </w:r>
      <w:bookmarkEnd w:id="73"/>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4" w:name="assessing-temporal-biases-in-reporting-2"/>
      <w:r>
        <w:t xml:space="preserve">Assessing temporal biases in reporting</w:t>
      </w:r>
      <w:bookmarkEnd w:id="74"/>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7" Target="media/rId47.png" /><Relationship Type="http://schemas.openxmlformats.org/officeDocument/2006/relationships/image" Id="rId79" Target="media/rId79.png" /><Relationship Type="http://schemas.openxmlformats.org/officeDocument/2006/relationships/hyperlink" Id="rId34" Target="https://doi.org/10.5281/zenodo.3492200" TargetMode="External" /><Relationship Type="http://schemas.openxmlformats.org/officeDocument/2006/relationships/hyperlink" Id="rId31"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34" Target="https://doi.org/10.5281/zenodo.3492200" TargetMode="External" /><Relationship Type="http://schemas.openxmlformats.org/officeDocument/2006/relationships/hyperlink" Id="rId31"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2019-10-22T16:38:38Z</dcterms:created>
  <dcterms:modified xsi:type="dcterms:W3CDTF">2019-10-22T16:38:38Z</dcterms:modified>
</cp:coreProperties>
</file>